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67B01">
      <w:pPr>
        <w:adjustRightInd w:val="0"/>
        <w:snapToGrid w:val="0"/>
        <w:rPr>
          <w:rFonts w:eastAsia="仿宋_GB2312"/>
          <w:sz w:val="32"/>
          <w:szCs w:val="32"/>
        </w:rPr>
      </w:pPr>
      <w:bookmarkStart w:id="0" w:name="_GoBack"/>
      <w:bookmarkEnd w:id="0"/>
    </w:p>
    <w:p w14:paraId="4759B173">
      <w:pPr>
        <w:adjustRightInd w:val="0"/>
        <w:snapToGrid w:val="0"/>
        <w:jc w:val="center"/>
        <w:rPr>
          <w:rStyle w:val="10"/>
          <w:rFonts w:eastAsia="华文中宋"/>
          <w:bCs/>
          <w:sz w:val="36"/>
          <w:szCs w:val="36"/>
        </w:rPr>
      </w:pPr>
      <w:r>
        <w:rPr>
          <w:rStyle w:val="10"/>
          <w:rFonts w:hint="eastAsia" w:eastAsia="华文中宋"/>
          <w:bCs/>
          <w:sz w:val="36"/>
          <w:szCs w:val="36"/>
        </w:rPr>
        <w:t>2</w:t>
      </w:r>
      <w:r>
        <w:rPr>
          <w:rStyle w:val="10"/>
          <w:rFonts w:eastAsia="华文中宋"/>
          <w:bCs/>
          <w:sz w:val="36"/>
          <w:szCs w:val="36"/>
        </w:rPr>
        <w:t>025</w:t>
      </w:r>
      <w:r>
        <w:rPr>
          <w:rStyle w:val="10"/>
          <w:rFonts w:hint="eastAsia" w:eastAsia="华文中宋"/>
          <w:bCs/>
          <w:sz w:val="36"/>
          <w:szCs w:val="36"/>
        </w:rPr>
        <w:t>年常州大学研究生教育教学改革与创新研究</w:t>
      </w:r>
    </w:p>
    <w:p w14:paraId="56F96BAE">
      <w:pPr>
        <w:adjustRightInd w:val="0"/>
        <w:snapToGrid w:val="0"/>
        <w:jc w:val="center"/>
        <w:rPr>
          <w:rStyle w:val="10"/>
          <w:rFonts w:eastAsia="华文中宋"/>
          <w:bCs/>
          <w:sz w:val="36"/>
          <w:szCs w:val="36"/>
        </w:rPr>
      </w:pPr>
      <w:r>
        <w:rPr>
          <w:rStyle w:val="10"/>
          <w:rFonts w:hint="eastAsia" w:eastAsia="华文中宋"/>
          <w:bCs/>
          <w:sz w:val="36"/>
          <w:szCs w:val="36"/>
        </w:rPr>
        <w:t>课题</w:t>
      </w:r>
      <w:r>
        <w:rPr>
          <w:rStyle w:val="10"/>
          <w:rFonts w:eastAsia="华文中宋"/>
          <w:bCs/>
          <w:sz w:val="36"/>
          <w:szCs w:val="36"/>
        </w:rPr>
        <w:t>申报指南</w:t>
      </w:r>
    </w:p>
    <w:p w14:paraId="39A4E96C">
      <w:pPr>
        <w:adjustRightInd w:val="0"/>
        <w:snapToGrid w:val="0"/>
        <w:jc w:val="center"/>
        <w:rPr>
          <w:rFonts w:eastAsia="华文中宋"/>
          <w:b/>
          <w:bCs/>
          <w:sz w:val="36"/>
          <w:szCs w:val="36"/>
        </w:rPr>
      </w:pPr>
    </w:p>
    <w:p w14:paraId="069BADB4">
      <w:pPr>
        <w:ind w:firstLine="560" w:firstLineChars="200"/>
        <w:rPr>
          <w:rFonts w:eastAsia="仿宋_GB2312"/>
          <w:sz w:val="28"/>
          <w:szCs w:val="28"/>
        </w:rPr>
      </w:pPr>
      <w:r>
        <w:rPr>
          <w:rFonts w:hint="eastAsia" w:eastAsia="仿宋_GB2312"/>
          <w:sz w:val="28"/>
          <w:szCs w:val="28"/>
        </w:rPr>
        <w:t>依据《江苏省研究生教育质量提升工程（2021-2025年）实施方案》，聚焦研究生教育高质量发展，开展研究生教育教学改革与创新研究，选题主要关注以下领域：</w:t>
      </w:r>
    </w:p>
    <w:p w14:paraId="1D638139">
      <w:pPr>
        <w:pStyle w:val="12"/>
        <w:numPr>
          <w:ilvl w:val="0"/>
          <w:numId w:val="1"/>
        </w:numPr>
        <w:ind w:firstLineChars="0"/>
        <w:outlineLvl w:val="0"/>
        <w:rPr>
          <w:rFonts w:ascii="黑体" w:hAnsi="黑体" w:eastAsia="黑体"/>
          <w:sz w:val="28"/>
          <w:szCs w:val="28"/>
        </w:rPr>
      </w:pPr>
      <w:r>
        <w:rPr>
          <w:rFonts w:ascii="黑体" w:hAnsi="黑体" w:eastAsia="黑体"/>
          <w:sz w:val="28"/>
          <w:szCs w:val="28"/>
        </w:rPr>
        <w:t>研究生思想政治教育</w:t>
      </w:r>
    </w:p>
    <w:p w14:paraId="0D612F58">
      <w:pPr>
        <w:ind w:firstLine="560" w:firstLineChars="200"/>
        <w:rPr>
          <w:rFonts w:eastAsia="仿宋_GB2312"/>
          <w:color w:val="000000" w:themeColor="text1"/>
          <w:sz w:val="28"/>
          <w:szCs w:val="28"/>
          <w14:textFill>
            <w14:solidFill>
              <w14:schemeClr w14:val="tx1"/>
            </w14:solidFill>
          </w14:textFill>
        </w:rPr>
      </w:pPr>
      <w:r>
        <w:rPr>
          <w:rFonts w:hint="eastAsia" w:eastAsia="仿宋_GB2312"/>
          <w:sz w:val="28"/>
          <w:szCs w:val="28"/>
        </w:rPr>
        <w:t>围绕落实立德树人根本任务，为党育人，为国育才使命，研究如何健全“三全育人”机制，重点</w:t>
      </w:r>
      <w:r>
        <w:rPr>
          <w:rFonts w:eastAsia="仿宋_GB2312"/>
          <w:sz w:val="28"/>
          <w:szCs w:val="28"/>
        </w:rPr>
        <w:t>加强研究生思政课程</w:t>
      </w:r>
      <w:r>
        <w:rPr>
          <w:rFonts w:hint="eastAsia" w:eastAsia="仿宋_GB2312"/>
          <w:sz w:val="28"/>
          <w:szCs w:val="28"/>
        </w:rPr>
        <w:t>和“课程思政”</w:t>
      </w:r>
      <w:r>
        <w:rPr>
          <w:rFonts w:eastAsia="仿宋_GB2312"/>
          <w:sz w:val="28"/>
          <w:szCs w:val="28"/>
        </w:rPr>
        <w:t>建设</w:t>
      </w:r>
      <w:r>
        <w:rPr>
          <w:rFonts w:hint="eastAsia" w:eastAsia="仿宋_GB2312"/>
          <w:sz w:val="28"/>
          <w:szCs w:val="28"/>
        </w:rPr>
        <w:t>，推进</w:t>
      </w:r>
      <w:r>
        <w:rPr>
          <w:rFonts w:eastAsia="仿宋_GB2312"/>
          <w:sz w:val="28"/>
          <w:szCs w:val="28"/>
        </w:rPr>
        <w:t>习近平新时代中国特色社会主义思想进教材、进课堂、进头脑</w:t>
      </w:r>
      <w:r>
        <w:rPr>
          <w:rFonts w:hint="eastAsia" w:eastAsia="仿宋_GB2312"/>
          <w:sz w:val="28"/>
          <w:szCs w:val="28"/>
        </w:rPr>
        <w:t>，创新“导学思政”工作机制，把思政育人融入学科体系、教学体系、管理体系的全过程，构建高水平思政育人格局；完善“五育并举”培养体系，加强研究生党建，创新群团工作，</w:t>
      </w:r>
      <w:r>
        <w:rPr>
          <w:rFonts w:eastAsia="仿宋_GB2312"/>
          <w:sz w:val="28"/>
          <w:szCs w:val="28"/>
        </w:rPr>
        <w:t>拓</w:t>
      </w:r>
      <w:r>
        <w:rPr>
          <w:rFonts w:hint="eastAsia" w:eastAsia="仿宋_GB2312"/>
          <w:sz w:val="28"/>
          <w:szCs w:val="28"/>
        </w:rPr>
        <w:t>展</w:t>
      </w:r>
      <w:r>
        <w:rPr>
          <w:rFonts w:eastAsia="仿宋_GB2312"/>
          <w:sz w:val="28"/>
          <w:szCs w:val="28"/>
        </w:rPr>
        <w:t>研究生社会实践和专业实践的深度</w:t>
      </w:r>
      <w:r>
        <w:rPr>
          <w:rFonts w:hint="eastAsia" w:eastAsia="仿宋_GB2312"/>
          <w:sz w:val="28"/>
          <w:szCs w:val="28"/>
        </w:rPr>
        <w:t>广度，建构有效</w:t>
      </w:r>
      <w:r>
        <w:rPr>
          <w:rFonts w:hint="eastAsia" w:eastAsia="仿宋_GB2312"/>
          <w:color w:val="000000" w:themeColor="text1"/>
          <w:sz w:val="28"/>
          <w:szCs w:val="28"/>
          <w14:textFill>
            <w14:solidFill>
              <w14:schemeClr w14:val="tx1"/>
            </w14:solidFill>
          </w14:textFill>
        </w:rPr>
        <w:t>的研究生心理健康教育模式等</w:t>
      </w:r>
      <w:r>
        <w:rPr>
          <w:rFonts w:eastAsia="仿宋_GB2312"/>
          <w:color w:val="000000" w:themeColor="text1"/>
          <w:sz w:val="28"/>
          <w:szCs w:val="28"/>
          <w14:textFill>
            <w14:solidFill>
              <w14:schemeClr w14:val="tx1"/>
            </w14:solidFill>
          </w14:textFill>
        </w:rPr>
        <w:t>。</w:t>
      </w:r>
    </w:p>
    <w:p w14:paraId="093CC211">
      <w:pPr>
        <w:pStyle w:val="12"/>
        <w:numPr>
          <w:ilvl w:val="0"/>
          <w:numId w:val="1"/>
        </w:numPr>
        <w:ind w:firstLineChars="0"/>
        <w:outlineLvl w:val="0"/>
        <w:rPr>
          <w:rFonts w:ascii="黑体" w:hAnsi="黑体" w:eastAsia="黑体"/>
          <w:sz w:val="28"/>
          <w:szCs w:val="28"/>
        </w:rPr>
      </w:pPr>
      <w:r>
        <w:rPr>
          <w:rFonts w:ascii="黑体" w:hAnsi="黑体" w:eastAsia="黑体"/>
          <w:sz w:val="28"/>
          <w:szCs w:val="28"/>
        </w:rPr>
        <w:t>研究生优质教学资源</w:t>
      </w:r>
      <w:r>
        <w:rPr>
          <w:rFonts w:hint="eastAsia" w:ascii="黑体" w:hAnsi="黑体" w:eastAsia="黑体"/>
          <w:sz w:val="28"/>
          <w:szCs w:val="28"/>
        </w:rPr>
        <w:t>建设</w:t>
      </w:r>
    </w:p>
    <w:p w14:paraId="7AEDB753">
      <w:pPr>
        <w:ind w:firstLine="560" w:firstLineChars="200"/>
        <w:rPr>
          <w:rFonts w:eastAsia="仿宋_GB2312"/>
          <w:sz w:val="28"/>
          <w:szCs w:val="28"/>
        </w:rPr>
      </w:pPr>
      <w:r>
        <w:rPr>
          <w:rFonts w:hint="eastAsia" w:eastAsia="仿宋_GB2312"/>
          <w:sz w:val="28"/>
          <w:szCs w:val="28"/>
        </w:rPr>
        <w:t>针对研究生优质教学资源不够丰富，对促进研究生创新能力提升的作用不够显著等问题，研究如何加强研究生优质课程、优秀教材、教学案例库、实践基地等建设，深化“在线开放”“线上线下融合”“案例教学”等研究生课程教育教学改革，紧跟科技发展前沿，创新教学理念，落实因材施教，形成特色鲜明、使用面广的优质教学资源，构建优质资源共享机制，完善优质资源建设保障机制等。</w:t>
      </w:r>
    </w:p>
    <w:p w14:paraId="0C9EF15A">
      <w:pPr>
        <w:pStyle w:val="12"/>
        <w:numPr>
          <w:ilvl w:val="0"/>
          <w:numId w:val="1"/>
        </w:numPr>
        <w:ind w:firstLineChars="0"/>
        <w:outlineLvl w:val="0"/>
        <w:rPr>
          <w:rFonts w:ascii="黑体" w:hAnsi="黑体" w:eastAsia="黑体"/>
          <w:sz w:val="28"/>
          <w:szCs w:val="28"/>
        </w:rPr>
      </w:pPr>
      <w:r>
        <w:rPr>
          <w:rFonts w:ascii="黑体" w:hAnsi="黑体" w:eastAsia="黑体"/>
          <w:sz w:val="28"/>
          <w:szCs w:val="28"/>
        </w:rPr>
        <w:t>研究生教育科教</w:t>
      </w:r>
      <w:r>
        <w:rPr>
          <w:rFonts w:hint="eastAsia" w:ascii="黑体" w:hAnsi="黑体" w:eastAsia="黑体"/>
          <w:sz w:val="28"/>
          <w:szCs w:val="28"/>
        </w:rPr>
        <w:t>融汇与</w:t>
      </w:r>
      <w:r>
        <w:rPr>
          <w:rFonts w:ascii="黑体" w:hAnsi="黑体" w:eastAsia="黑体"/>
          <w:sz w:val="28"/>
          <w:szCs w:val="28"/>
        </w:rPr>
        <w:t>产教融合</w:t>
      </w:r>
    </w:p>
    <w:p w14:paraId="489DC976">
      <w:pPr>
        <w:ind w:firstLine="560" w:firstLineChars="200"/>
        <w:rPr>
          <w:rFonts w:eastAsia="仿宋_GB2312"/>
          <w:sz w:val="28"/>
          <w:szCs w:val="28"/>
        </w:rPr>
      </w:pPr>
      <w:r>
        <w:rPr>
          <w:rFonts w:hint="eastAsia" w:eastAsia="仿宋_GB2312"/>
          <w:sz w:val="28"/>
          <w:szCs w:val="28"/>
        </w:rPr>
        <w:t>围绕深化产教融合、科教结合，推进研究生分类培养等问题，研究如何</w:t>
      </w:r>
      <w:r>
        <w:rPr>
          <w:rFonts w:eastAsia="仿宋_GB2312"/>
          <w:sz w:val="28"/>
          <w:szCs w:val="28"/>
        </w:rPr>
        <w:t>完善科教产教融合育人机制，</w:t>
      </w:r>
      <w:r>
        <w:rPr>
          <w:rFonts w:hint="eastAsia" w:eastAsia="仿宋_GB2312"/>
          <w:sz w:val="28"/>
          <w:szCs w:val="28"/>
        </w:rPr>
        <w:t>探索技术转移高层次人才培养模式，</w:t>
      </w:r>
      <w:r>
        <w:rPr>
          <w:rFonts w:eastAsia="仿宋_GB2312"/>
          <w:sz w:val="28"/>
          <w:szCs w:val="28"/>
        </w:rPr>
        <w:t>加强学术学位研究生科研创新能力培养</w:t>
      </w:r>
      <w:r>
        <w:rPr>
          <w:rFonts w:hint="eastAsia" w:eastAsia="仿宋_GB2312"/>
          <w:sz w:val="28"/>
          <w:szCs w:val="28"/>
        </w:rPr>
        <w:t>；提升“产业教授”“研究生工作站”等建设实效，</w:t>
      </w:r>
      <w:r>
        <w:rPr>
          <w:rFonts w:eastAsia="仿宋_GB2312"/>
          <w:sz w:val="28"/>
          <w:szCs w:val="28"/>
        </w:rPr>
        <w:t>加强专业学位研究生实践创新能力培养</w:t>
      </w:r>
      <w:r>
        <w:rPr>
          <w:rFonts w:hint="eastAsia" w:eastAsia="仿宋_GB2312"/>
          <w:sz w:val="28"/>
          <w:szCs w:val="28"/>
        </w:rPr>
        <w:t>，完善专业学位研究生培养过程管理；</w:t>
      </w:r>
      <w:r>
        <w:rPr>
          <w:rFonts w:eastAsia="仿宋_GB2312"/>
          <w:sz w:val="28"/>
          <w:szCs w:val="28"/>
        </w:rPr>
        <w:t>推动科研院所和行业企业全方位参与研究生培养，促进教育链、人才链与产业链、创新链有机衔接</w:t>
      </w:r>
      <w:r>
        <w:rPr>
          <w:rFonts w:hint="eastAsia" w:eastAsia="仿宋_GB2312"/>
          <w:sz w:val="28"/>
          <w:szCs w:val="28"/>
        </w:rPr>
        <w:t>等</w:t>
      </w:r>
      <w:r>
        <w:rPr>
          <w:rFonts w:eastAsia="仿宋_GB2312"/>
          <w:sz w:val="28"/>
          <w:szCs w:val="28"/>
        </w:rPr>
        <w:t>。</w:t>
      </w:r>
    </w:p>
    <w:p w14:paraId="68467D72">
      <w:pPr>
        <w:pStyle w:val="12"/>
        <w:numPr>
          <w:ilvl w:val="0"/>
          <w:numId w:val="1"/>
        </w:numPr>
        <w:ind w:firstLineChars="0"/>
        <w:outlineLvl w:val="0"/>
        <w:rPr>
          <w:rFonts w:ascii="黑体" w:hAnsi="黑体" w:eastAsia="黑体"/>
          <w:sz w:val="28"/>
          <w:szCs w:val="28"/>
        </w:rPr>
      </w:pPr>
      <w:r>
        <w:rPr>
          <w:rFonts w:ascii="黑体" w:hAnsi="黑体" w:eastAsia="黑体"/>
          <w:sz w:val="28"/>
          <w:szCs w:val="28"/>
        </w:rPr>
        <w:t>研究生导师指导</w:t>
      </w:r>
      <w:r>
        <w:rPr>
          <w:rFonts w:hint="eastAsia" w:ascii="黑体" w:hAnsi="黑体" w:eastAsia="黑体"/>
          <w:sz w:val="28"/>
          <w:szCs w:val="28"/>
        </w:rPr>
        <w:t>能力提升</w:t>
      </w:r>
    </w:p>
    <w:p w14:paraId="7347667D">
      <w:pPr>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面向德才兼备导师队伍发展需求，针对导师指导能力、质量意识、师德规范等问题，研究如何充分发挥导师的育人作用，健全导师荣誉制度，强化典型示范引领作用；健全导师培训体系，</w:t>
      </w:r>
      <w:r>
        <w:rPr>
          <w:rFonts w:eastAsia="仿宋_GB2312"/>
          <w:color w:val="000000" w:themeColor="text1"/>
          <w:sz w:val="28"/>
          <w:szCs w:val="28"/>
          <w14:textFill>
            <w14:solidFill>
              <w14:schemeClr w14:val="tx1"/>
            </w14:solidFill>
          </w14:textFill>
        </w:rPr>
        <w:t>落实导师立德树人职责</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增强导师岗位意识</w:t>
      </w:r>
      <w:r>
        <w:rPr>
          <w:rFonts w:hint="eastAsia" w:eastAsia="仿宋_GB2312"/>
          <w:color w:val="000000" w:themeColor="text1"/>
          <w:sz w:val="28"/>
          <w:szCs w:val="28"/>
          <w14:textFill>
            <w14:solidFill>
              <w14:schemeClr w14:val="tx1"/>
            </w14:solidFill>
          </w14:textFill>
        </w:rPr>
        <w:t>；加强导师队伍建设，健全师德师风教育体系，探索校内外、境内外导师组等</w:t>
      </w:r>
      <w:r>
        <w:rPr>
          <w:rFonts w:eastAsia="仿宋_GB2312"/>
          <w:color w:val="000000" w:themeColor="text1"/>
          <w:sz w:val="28"/>
          <w:szCs w:val="28"/>
          <w14:textFill>
            <w14:solidFill>
              <w14:schemeClr w14:val="tx1"/>
            </w14:solidFill>
          </w14:textFill>
        </w:rPr>
        <w:t>团队合作</w:t>
      </w:r>
      <w:r>
        <w:rPr>
          <w:rFonts w:hint="eastAsia" w:eastAsia="仿宋_GB2312"/>
          <w:color w:val="000000" w:themeColor="text1"/>
          <w:sz w:val="28"/>
          <w:szCs w:val="28"/>
          <w14:textFill>
            <w14:solidFill>
              <w14:schemeClr w14:val="tx1"/>
            </w14:solidFill>
          </w14:textFill>
        </w:rPr>
        <w:t>机制，完善导师的评聘管理、考核评价、激励机制等。</w:t>
      </w:r>
    </w:p>
    <w:p w14:paraId="1533AEB7">
      <w:pPr>
        <w:pStyle w:val="12"/>
        <w:numPr>
          <w:ilvl w:val="0"/>
          <w:numId w:val="1"/>
        </w:numPr>
        <w:ind w:firstLineChars="0"/>
        <w:outlineLvl w:val="0"/>
        <w:rPr>
          <w:rFonts w:ascii="黑体" w:hAnsi="黑体" w:eastAsia="黑体"/>
          <w:sz w:val="28"/>
          <w:szCs w:val="28"/>
        </w:rPr>
      </w:pPr>
      <w:r>
        <w:rPr>
          <w:rFonts w:ascii="黑体" w:hAnsi="黑体" w:eastAsia="黑体"/>
          <w:sz w:val="28"/>
          <w:szCs w:val="28"/>
        </w:rPr>
        <w:t>研究生学术与实践创新能力</w:t>
      </w:r>
      <w:r>
        <w:rPr>
          <w:rFonts w:hint="eastAsia" w:ascii="黑体" w:hAnsi="黑体" w:eastAsia="黑体"/>
          <w:sz w:val="28"/>
          <w:szCs w:val="28"/>
        </w:rPr>
        <w:t>培养</w:t>
      </w:r>
    </w:p>
    <w:p w14:paraId="7AC26C22">
      <w:pPr>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服务国家创新发展战略，针对研究生创新能力培养中存在的问题和困难，研究如何深入实施研究生培养创新工程，深化研究生分类培养改革，探索产学研协同研究生培养模式，创新创业教育融入研究生培养，构建校院两级学术与实践创新活动平台，完善创新实践基地建设和创新计划管理机制，强化专业学位研究生培养，提升研究生科研实践创新能力等。</w:t>
      </w:r>
    </w:p>
    <w:p w14:paraId="3451CD26">
      <w:pPr>
        <w:pStyle w:val="12"/>
        <w:numPr>
          <w:ilvl w:val="0"/>
          <w:numId w:val="1"/>
        </w:numPr>
        <w:ind w:firstLineChars="0"/>
        <w:outlineLvl w:val="0"/>
        <w:rPr>
          <w:rFonts w:ascii="黑体" w:hAnsi="黑体" w:eastAsia="黑体"/>
          <w:sz w:val="28"/>
          <w:szCs w:val="28"/>
        </w:rPr>
      </w:pPr>
      <w:r>
        <w:rPr>
          <w:rFonts w:ascii="黑体" w:hAnsi="黑体" w:eastAsia="黑体"/>
          <w:sz w:val="28"/>
          <w:szCs w:val="28"/>
        </w:rPr>
        <w:t>急需紧缺高层次创新人才</w:t>
      </w:r>
      <w:r>
        <w:rPr>
          <w:rFonts w:hint="eastAsia" w:ascii="黑体" w:hAnsi="黑体" w:eastAsia="黑体"/>
          <w:sz w:val="28"/>
          <w:szCs w:val="28"/>
        </w:rPr>
        <w:t>培养</w:t>
      </w:r>
    </w:p>
    <w:p w14:paraId="4137E7B9">
      <w:pPr>
        <w:ind w:firstLine="560" w:firstLineChars="20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对照国家战略布局，</w:t>
      </w:r>
      <w:r>
        <w:rPr>
          <w:rFonts w:hint="eastAsia" w:eastAsia="仿宋_GB2312"/>
          <w:color w:val="000000" w:themeColor="text1"/>
          <w:sz w:val="28"/>
          <w:szCs w:val="28"/>
          <w14:textFill>
            <w14:solidFill>
              <w14:schemeClr w14:val="tx1"/>
            </w14:solidFill>
          </w14:textFill>
        </w:rPr>
        <w:t>研究如何</w:t>
      </w:r>
      <w:r>
        <w:rPr>
          <w:rFonts w:eastAsia="仿宋_GB2312"/>
          <w:color w:val="000000" w:themeColor="text1"/>
          <w:sz w:val="28"/>
          <w:szCs w:val="28"/>
          <w14:textFill>
            <w14:solidFill>
              <w14:schemeClr w14:val="tx1"/>
            </w14:solidFill>
          </w14:textFill>
        </w:rPr>
        <w:t>瞄准科技前沿和关键领域，</w:t>
      </w:r>
      <w:r>
        <w:rPr>
          <w:rFonts w:hint="eastAsia" w:eastAsia="仿宋_GB2312"/>
          <w:color w:val="000000" w:themeColor="text1"/>
          <w:sz w:val="28"/>
          <w:szCs w:val="28"/>
          <w14:textFill>
            <w14:solidFill>
              <w14:schemeClr w14:val="tx1"/>
            </w14:solidFill>
          </w14:textFill>
        </w:rPr>
        <w:t>优化学科方向，</w:t>
      </w:r>
      <w:r>
        <w:rPr>
          <w:rFonts w:eastAsia="仿宋_GB2312"/>
          <w:color w:val="000000" w:themeColor="text1"/>
          <w:sz w:val="28"/>
          <w:szCs w:val="28"/>
          <w14:textFill>
            <w14:solidFill>
              <w14:schemeClr w14:val="tx1"/>
            </w14:solidFill>
          </w14:textFill>
        </w:rPr>
        <w:t>扩大国家战略需求急需紧缺人才培养</w:t>
      </w:r>
      <w:r>
        <w:rPr>
          <w:rFonts w:hint="eastAsia" w:eastAsia="仿宋_GB2312"/>
          <w:color w:val="000000" w:themeColor="text1"/>
          <w:sz w:val="28"/>
          <w:szCs w:val="28"/>
          <w14:textFill>
            <w14:solidFill>
              <w14:schemeClr w14:val="tx1"/>
            </w14:solidFill>
          </w14:textFill>
        </w:rPr>
        <w:t>；聚焦创新国家建设需要，围绕工业化进阶和产业链升级对高层次专业性工程应用型人才的需要；对接地方创新发展战略，提升区域</w:t>
      </w:r>
      <w:r>
        <w:rPr>
          <w:rFonts w:eastAsia="仿宋_GB2312"/>
          <w:color w:val="000000" w:themeColor="text1"/>
          <w:sz w:val="28"/>
          <w:szCs w:val="28"/>
          <w14:textFill>
            <w14:solidFill>
              <w14:schemeClr w14:val="tx1"/>
            </w14:solidFill>
          </w14:textFill>
        </w:rPr>
        <w:t>重点产业集群急需紧缺人才培养</w:t>
      </w:r>
      <w:r>
        <w:rPr>
          <w:rFonts w:hint="eastAsia" w:eastAsia="仿宋_GB2312"/>
          <w:color w:val="000000" w:themeColor="text1"/>
          <w:sz w:val="28"/>
          <w:szCs w:val="28"/>
          <w14:textFill>
            <w14:solidFill>
              <w14:schemeClr w14:val="tx1"/>
            </w14:solidFill>
          </w14:textFill>
        </w:rPr>
        <w:t>能力；深化研究生招生制度改革，完善招生计划管理，提高研究生生源质量等。</w:t>
      </w:r>
    </w:p>
    <w:p w14:paraId="18C17189">
      <w:pPr>
        <w:pStyle w:val="12"/>
        <w:numPr>
          <w:ilvl w:val="0"/>
          <w:numId w:val="1"/>
        </w:numPr>
        <w:ind w:firstLineChars="0"/>
        <w:outlineLvl w:val="0"/>
        <w:rPr>
          <w:rFonts w:ascii="黑体" w:hAnsi="黑体" w:eastAsia="黑体"/>
          <w:sz w:val="28"/>
          <w:szCs w:val="28"/>
        </w:rPr>
      </w:pPr>
      <w:r>
        <w:rPr>
          <w:rFonts w:hint="eastAsia" w:ascii="黑体" w:hAnsi="黑体" w:eastAsia="黑体"/>
          <w:sz w:val="28"/>
          <w:szCs w:val="28"/>
        </w:rPr>
        <w:t>研究生教育质量保障</w:t>
      </w:r>
    </w:p>
    <w:p w14:paraId="502D59A1">
      <w:pPr>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针对研究生质量管理中存在的体制、机制问题，研究如何结合学位点评估，</w:t>
      </w:r>
      <w:r>
        <w:rPr>
          <w:rFonts w:eastAsia="仿宋_GB2312"/>
          <w:color w:val="000000" w:themeColor="text1"/>
          <w:sz w:val="28"/>
          <w:szCs w:val="28"/>
          <w14:textFill>
            <w14:solidFill>
              <w14:schemeClr w14:val="tx1"/>
            </w14:solidFill>
          </w14:textFill>
        </w:rPr>
        <w:t>健全</w:t>
      </w:r>
      <w:r>
        <w:rPr>
          <w:rFonts w:hint="eastAsia" w:eastAsia="仿宋_GB2312"/>
          <w:color w:val="000000" w:themeColor="text1"/>
          <w:sz w:val="28"/>
          <w:szCs w:val="28"/>
          <w14:textFill>
            <w14:solidFill>
              <w14:schemeClr w14:val="tx1"/>
            </w14:solidFill>
          </w14:textFill>
        </w:rPr>
        <w:t>研究生</w:t>
      </w:r>
      <w:r>
        <w:rPr>
          <w:rFonts w:eastAsia="仿宋_GB2312"/>
          <w:color w:val="000000" w:themeColor="text1"/>
          <w:sz w:val="28"/>
          <w:szCs w:val="28"/>
          <w14:textFill>
            <w14:solidFill>
              <w14:schemeClr w14:val="tx1"/>
            </w14:solidFill>
          </w14:textFill>
        </w:rPr>
        <w:t>质量保证制度</w:t>
      </w:r>
      <w:r>
        <w:rPr>
          <w:rFonts w:hint="eastAsia" w:eastAsia="仿宋_GB2312"/>
          <w:color w:val="000000" w:themeColor="text1"/>
          <w:sz w:val="28"/>
          <w:szCs w:val="28"/>
          <w14:textFill>
            <w14:solidFill>
              <w14:schemeClr w14:val="tx1"/>
            </w14:solidFill>
          </w14:textFill>
        </w:rPr>
        <w:t>，深化完善研究生质量督导体系，完善研究生教育质量报告发布、教育质量评价监管机制，提高研究生学位论文质量，</w:t>
      </w:r>
      <w:r>
        <w:rPr>
          <w:rFonts w:eastAsia="仿宋_GB2312"/>
          <w:color w:val="000000" w:themeColor="text1"/>
          <w:sz w:val="28"/>
          <w:szCs w:val="28"/>
          <w14:textFill>
            <w14:solidFill>
              <w14:schemeClr w14:val="tx1"/>
            </w14:solidFill>
          </w14:textFill>
        </w:rPr>
        <w:t>提升研究生教育信息化管理水平</w:t>
      </w:r>
      <w:r>
        <w:rPr>
          <w:rFonts w:hint="eastAsia" w:eastAsia="仿宋_GB2312"/>
          <w:color w:val="000000" w:themeColor="text1"/>
          <w:sz w:val="28"/>
          <w:szCs w:val="28"/>
          <w14:textFill>
            <w14:solidFill>
              <w14:schemeClr w14:val="tx1"/>
            </w14:solidFill>
          </w14:textFill>
        </w:rPr>
        <w:t>等；</w:t>
      </w:r>
      <w:r>
        <w:rPr>
          <w:rFonts w:eastAsia="仿宋_GB2312"/>
          <w:color w:val="000000" w:themeColor="text1"/>
          <w:sz w:val="28"/>
          <w:szCs w:val="28"/>
          <w14:textFill>
            <w14:solidFill>
              <w14:schemeClr w14:val="tx1"/>
            </w14:solidFill>
          </w14:textFill>
        </w:rPr>
        <w:t>聚焦研究生导师立德树人履职评价与督导机制，构建科学评价体系，强化过程督导，以提升导师育人效能，推动研究生教育高质量发展</w:t>
      </w:r>
      <w:r>
        <w:rPr>
          <w:rFonts w:hint="eastAsia" w:eastAsia="仿宋_GB2312"/>
          <w:color w:val="000000" w:themeColor="text1"/>
          <w:sz w:val="28"/>
          <w:szCs w:val="28"/>
          <w14:textFill>
            <w14:solidFill>
              <w14:schemeClr w14:val="tx1"/>
            </w14:solidFill>
          </w14:textFill>
        </w:rPr>
        <w:t>。</w:t>
      </w:r>
    </w:p>
    <w:p w14:paraId="63E2EB5D">
      <w:pPr>
        <w:pStyle w:val="12"/>
        <w:numPr>
          <w:ilvl w:val="0"/>
          <w:numId w:val="1"/>
        </w:numPr>
        <w:ind w:firstLineChars="0"/>
        <w:outlineLvl w:val="0"/>
        <w:rPr>
          <w:rFonts w:ascii="黑体" w:hAnsi="黑体" w:eastAsia="黑体"/>
          <w:sz w:val="28"/>
          <w:szCs w:val="28"/>
        </w:rPr>
      </w:pPr>
      <w:r>
        <w:rPr>
          <w:rFonts w:hint="eastAsia" w:ascii="黑体" w:hAnsi="黑体" w:eastAsia="黑体"/>
          <w:sz w:val="28"/>
          <w:szCs w:val="28"/>
        </w:rPr>
        <w:t>其他</w:t>
      </w:r>
    </w:p>
    <w:p w14:paraId="4432B3B8">
      <w:pPr>
        <w:ind w:firstLine="560" w:firstLineChars="200"/>
        <w:rPr>
          <w:rFonts w:hint="eastAsia"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《学位法》</w:t>
      </w:r>
      <w:r>
        <w:rPr>
          <w:rFonts w:hint="eastAsia" w:eastAsia="仿宋_GB2312"/>
          <w:color w:val="000000" w:themeColor="text1"/>
          <w:sz w:val="28"/>
          <w:szCs w:val="28"/>
          <w14:textFill>
            <w14:solidFill>
              <w14:schemeClr w14:val="tx1"/>
            </w14:solidFill>
          </w14:textFill>
        </w:rPr>
        <w:t>背景</w:t>
      </w:r>
      <w:r>
        <w:rPr>
          <w:rFonts w:eastAsia="仿宋_GB2312"/>
          <w:color w:val="000000" w:themeColor="text1"/>
          <w:sz w:val="28"/>
          <w:szCs w:val="28"/>
          <w14:textFill>
            <w14:solidFill>
              <w14:schemeClr w14:val="tx1"/>
            </w14:solidFill>
          </w14:textFill>
        </w:rPr>
        <w:t>下研究生教育治理体系与治理能力提升研究</w:t>
      </w:r>
      <w:r>
        <w:rPr>
          <w:rFonts w:hint="eastAsia" w:eastAsia="仿宋_GB2312"/>
          <w:color w:val="000000" w:themeColor="text1"/>
          <w:sz w:val="28"/>
          <w:szCs w:val="28"/>
          <w14:textFill>
            <w14:solidFill>
              <w14:schemeClr w14:val="tx1"/>
            </w14:solidFill>
          </w14:textFill>
        </w:rPr>
        <w:t>，面向教育、科技、人才一体化的研究生培养模式改革研究，</w:t>
      </w:r>
      <w:r>
        <w:rPr>
          <w:rFonts w:eastAsia="仿宋_GB2312"/>
          <w:color w:val="000000" w:themeColor="text1"/>
          <w:sz w:val="28"/>
          <w:szCs w:val="28"/>
          <w14:textFill>
            <w14:solidFill>
              <w14:schemeClr w14:val="tx1"/>
            </w14:solidFill>
          </w14:textFill>
        </w:rPr>
        <w:t>AI赋能</w:t>
      </w:r>
      <w:r>
        <w:rPr>
          <w:rFonts w:hint="eastAsia" w:eastAsia="仿宋_GB2312"/>
          <w:color w:val="000000" w:themeColor="text1"/>
          <w:sz w:val="28"/>
          <w:szCs w:val="28"/>
          <w14:textFill>
            <w14:solidFill>
              <w14:schemeClr w14:val="tx1"/>
            </w14:solidFill>
          </w14:textFill>
        </w:rPr>
        <w:t>研究生教育质量提升研究，</w:t>
      </w:r>
      <w:r>
        <w:rPr>
          <w:rFonts w:eastAsia="仿宋_GB2312"/>
          <w:color w:val="000000" w:themeColor="text1"/>
          <w:sz w:val="28"/>
          <w:szCs w:val="28"/>
          <w14:textFill>
            <w14:solidFill>
              <w14:schemeClr w14:val="tx1"/>
            </w14:solidFill>
          </w14:textFill>
        </w:rPr>
        <w:t>研究生教学成果评价体系研究</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研究生分流</w:t>
      </w:r>
      <w:r>
        <w:rPr>
          <w:rFonts w:hint="eastAsia" w:eastAsia="仿宋_GB2312"/>
          <w:color w:val="000000" w:themeColor="text1"/>
          <w:sz w:val="28"/>
          <w:szCs w:val="28"/>
          <w14:textFill>
            <w14:solidFill>
              <w14:schemeClr w14:val="tx1"/>
            </w14:solidFill>
          </w14:textFill>
        </w:rPr>
        <w:t>及退出机制的</w:t>
      </w:r>
      <w:r>
        <w:rPr>
          <w:rFonts w:eastAsia="仿宋_GB2312"/>
          <w:color w:val="000000" w:themeColor="text1"/>
          <w:sz w:val="28"/>
          <w:szCs w:val="28"/>
          <w14:textFill>
            <w14:solidFill>
              <w14:schemeClr w14:val="tx1"/>
            </w14:solidFill>
          </w14:textFill>
        </w:rPr>
        <w:t>问题与对策研究</w:t>
      </w:r>
      <w:r>
        <w:rPr>
          <w:rFonts w:hint="eastAsia" w:eastAsia="仿宋_GB2312"/>
          <w:color w:val="000000" w:themeColor="text1"/>
          <w:sz w:val="28"/>
          <w:szCs w:val="28"/>
          <w14:textFill>
            <w14:solidFill>
              <w14:schemeClr w14:val="tx1"/>
            </w14:solidFill>
          </w14:textFill>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028C2"/>
    <w:multiLevelType w:val="multilevel"/>
    <w:tmpl w:val="6F4028C2"/>
    <w:lvl w:ilvl="0" w:tentative="0">
      <w:start w:val="1"/>
      <w:numFmt w:val="japaneseCounting"/>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IyNzE1ZTJiMGVkNGRlOTdhNTQ4YThkMWU0NzZjODIifQ=="/>
  </w:docVars>
  <w:rsids>
    <w:rsidRoot w:val="00DB4FC4"/>
    <w:rsid w:val="00035A44"/>
    <w:rsid w:val="000476D9"/>
    <w:rsid w:val="00053C4C"/>
    <w:rsid w:val="00054864"/>
    <w:rsid w:val="00066A32"/>
    <w:rsid w:val="00070EF1"/>
    <w:rsid w:val="000717E7"/>
    <w:rsid w:val="000A5150"/>
    <w:rsid w:val="000A5182"/>
    <w:rsid w:val="000B1D4A"/>
    <w:rsid w:val="000B387A"/>
    <w:rsid w:val="00107821"/>
    <w:rsid w:val="001320D4"/>
    <w:rsid w:val="00152ACD"/>
    <w:rsid w:val="001564E0"/>
    <w:rsid w:val="001665D2"/>
    <w:rsid w:val="001A3359"/>
    <w:rsid w:val="001C22C7"/>
    <w:rsid w:val="001D3556"/>
    <w:rsid w:val="001E2C6C"/>
    <w:rsid w:val="002047A5"/>
    <w:rsid w:val="00205502"/>
    <w:rsid w:val="00212014"/>
    <w:rsid w:val="00242E27"/>
    <w:rsid w:val="00245744"/>
    <w:rsid w:val="0026287A"/>
    <w:rsid w:val="00281C9A"/>
    <w:rsid w:val="00307491"/>
    <w:rsid w:val="003114DA"/>
    <w:rsid w:val="00327F7F"/>
    <w:rsid w:val="00362D6F"/>
    <w:rsid w:val="00364577"/>
    <w:rsid w:val="0038274A"/>
    <w:rsid w:val="003E51AF"/>
    <w:rsid w:val="003F35CB"/>
    <w:rsid w:val="004129AB"/>
    <w:rsid w:val="004162C2"/>
    <w:rsid w:val="00437989"/>
    <w:rsid w:val="00457336"/>
    <w:rsid w:val="0047440E"/>
    <w:rsid w:val="004B1BA6"/>
    <w:rsid w:val="004E4ACE"/>
    <w:rsid w:val="00522323"/>
    <w:rsid w:val="00523E8D"/>
    <w:rsid w:val="00525E83"/>
    <w:rsid w:val="00535815"/>
    <w:rsid w:val="005639F8"/>
    <w:rsid w:val="005B4A12"/>
    <w:rsid w:val="005D1625"/>
    <w:rsid w:val="005D2286"/>
    <w:rsid w:val="005D3251"/>
    <w:rsid w:val="005E4BCF"/>
    <w:rsid w:val="005E700F"/>
    <w:rsid w:val="005F2E58"/>
    <w:rsid w:val="00626421"/>
    <w:rsid w:val="00654DA4"/>
    <w:rsid w:val="00656F56"/>
    <w:rsid w:val="0066486E"/>
    <w:rsid w:val="006C27D6"/>
    <w:rsid w:val="00704492"/>
    <w:rsid w:val="007061B5"/>
    <w:rsid w:val="007504A3"/>
    <w:rsid w:val="007C448B"/>
    <w:rsid w:val="007F2C02"/>
    <w:rsid w:val="007F61D8"/>
    <w:rsid w:val="00832847"/>
    <w:rsid w:val="008639C1"/>
    <w:rsid w:val="00885892"/>
    <w:rsid w:val="008C37FA"/>
    <w:rsid w:val="008E6ED1"/>
    <w:rsid w:val="008F421F"/>
    <w:rsid w:val="00933D9F"/>
    <w:rsid w:val="0094417F"/>
    <w:rsid w:val="009501E7"/>
    <w:rsid w:val="00955506"/>
    <w:rsid w:val="00993CFD"/>
    <w:rsid w:val="009A6B8B"/>
    <w:rsid w:val="009C66BC"/>
    <w:rsid w:val="00A04E82"/>
    <w:rsid w:val="00A14952"/>
    <w:rsid w:val="00A1734C"/>
    <w:rsid w:val="00A26629"/>
    <w:rsid w:val="00A361EF"/>
    <w:rsid w:val="00A40AE0"/>
    <w:rsid w:val="00A5329A"/>
    <w:rsid w:val="00A64C5A"/>
    <w:rsid w:val="00AE59D1"/>
    <w:rsid w:val="00B10D4E"/>
    <w:rsid w:val="00B6063B"/>
    <w:rsid w:val="00B94659"/>
    <w:rsid w:val="00BC0105"/>
    <w:rsid w:val="00BE0CE1"/>
    <w:rsid w:val="00BF4CEC"/>
    <w:rsid w:val="00C17F7E"/>
    <w:rsid w:val="00C30BA0"/>
    <w:rsid w:val="00C43A79"/>
    <w:rsid w:val="00C560B4"/>
    <w:rsid w:val="00C930AA"/>
    <w:rsid w:val="00CA3D18"/>
    <w:rsid w:val="00CB14CB"/>
    <w:rsid w:val="00CB1F46"/>
    <w:rsid w:val="00D410E4"/>
    <w:rsid w:val="00DB4FC4"/>
    <w:rsid w:val="00DD15EA"/>
    <w:rsid w:val="00DF7340"/>
    <w:rsid w:val="00E005C2"/>
    <w:rsid w:val="00E24BC9"/>
    <w:rsid w:val="00E364CF"/>
    <w:rsid w:val="00E81BCC"/>
    <w:rsid w:val="00E8251D"/>
    <w:rsid w:val="00EB1A90"/>
    <w:rsid w:val="00EC66BC"/>
    <w:rsid w:val="00F00C83"/>
    <w:rsid w:val="00F02CF6"/>
    <w:rsid w:val="00F2048A"/>
    <w:rsid w:val="00F21CE1"/>
    <w:rsid w:val="00F24D0B"/>
    <w:rsid w:val="00FC68CA"/>
    <w:rsid w:val="00FD4972"/>
    <w:rsid w:val="19CC1674"/>
    <w:rsid w:val="5EB3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annotation subject"/>
    <w:basedOn w:val="2"/>
    <w:next w:val="2"/>
    <w:link w:val="17"/>
    <w:semiHidden/>
    <w:unhideWhenUsed/>
    <w:qFormat/>
    <w:uiPriority w:val="99"/>
    <w:rPr>
      <w:b/>
      <w:bCs/>
    </w:rPr>
  </w:style>
  <w:style w:type="character" w:styleId="10">
    <w:name w:val="Strong"/>
    <w:qFormat/>
    <w:uiPriority w:val="0"/>
    <w:rPr>
      <w:b/>
    </w:rPr>
  </w:style>
  <w:style w:type="character" w:styleId="11">
    <w:name w:val="annotation reference"/>
    <w:basedOn w:val="9"/>
    <w:semiHidden/>
    <w:unhideWhenUsed/>
    <w:qFormat/>
    <w:uiPriority w:val="99"/>
    <w:rPr>
      <w:sz w:val="21"/>
      <w:szCs w:val="21"/>
    </w:rPr>
  </w:style>
  <w:style w:type="paragraph" w:styleId="12">
    <w:name w:val="List Paragraph"/>
    <w:basedOn w:val="1"/>
    <w:qFormat/>
    <w:uiPriority w:val="34"/>
    <w:pPr>
      <w:ind w:firstLine="420" w:firstLineChars="200"/>
    </w:pPr>
  </w:style>
  <w:style w:type="character" w:customStyle="1" w:styleId="13">
    <w:name w:val="页眉 字符"/>
    <w:basedOn w:val="9"/>
    <w:link w:val="5"/>
    <w:qFormat/>
    <w:uiPriority w:val="99"/>
    <w:rPr>
      <w:rFonts w:ascii="Times New Roman" w:hAnsi="Times New Roman" w:eastAsia="宋体" w:cs="Times New Roman"/>
      <w:sz w:val="18"/>
      <w:szCs w:val="18"/>
    </w:rPr>
  </w:style>
  <w:style w:type="character" w:customStyle="1" w:styleId="14">
    <w:name w:val="页脚 字符"/>
    <w:basedOn w:val="9"/>
    <w:link w:val="4"/>
    <w:qFormat/>
    <w:uiPriority w:val="99"/>
    <w:rPr>
      <w:rFonts w:ascii="Times New Roman" w:hAnsi="Times New Roman" w:eastAsia="宋体" w:cs="Times New Roman"/>
      <w:sz w:val="18"/>
      <w:szCs w:val="18"/>
    </w:rPr>
  </w:style>
  <w:style w:type="character" w:customStyle="1" w:styleId="15">
    <w:name w:val="批注框文本 字符"/>
    <w:basedOn w:val="9"/>
    <w:link w:val="3"/>
    <w:semiHidden/>
    <w:uiPriority w:val="99"/>
    <w:rPr>
      <w:rFonts w:ascii="Times New Roman" w:hAnsi="Times New Roman" w:eastAsia="宋体" w:cs="Times New Roman"/>
      <w:sz w:val="18"/>
      <w:szCs w:val="18"/>
    </w:rPr>
  </w:style>
  <w:style w:type="character" w:customStyle="1" w:styleId="16">
    <w:name w:val="批注文字 字符"/>
    <w:basedOn w:val="9"/>
    <w:link w:val="2"/>
    <w:semiHidden/>
    <w:uiPriority w:val="99"/>
    <w:rPr>
      <w:rFonts w:ascii="Times New Roman" w:hAnsi="Times New Roman" w:eastAsia="宋体" w:cs="Times New Roman"/>
      <w:szCs w:val="24"/>
    </w:rPr>
  </w:style>
  <w:style w:type="character" w:customStyle="1" w:styleId="17">
    <w:name w:val="批注主题 字符"/>
    <w:basedOn w:val="16"/>
    <w:link w:val="7"/>
    <w:semiHidden/>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1485</Words>
  <Characters>1497</Characters>
  <Lines>52</Lines>
  <Paragraphs>72</Paragraphs>
  <TotalTime>9</TotalTime>
  <ScaleCrop>false</ScaleCrop>
  <LinksUpToDate>false</LinksUpToDate>
  <CharactersWithSpaces>1499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2025-11-03T03:59:00Z</dcterms:created>
  <dc:creator>CYD</dc:creator>
  <cp:lastModifiedBy>音</cp:lastModifiedBy>
  <dcterms:modified xsi:type="dcterms:W3CDTF">2025-11-12T07:50:56Z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2116FA4CD6B945AAB17451E66060A034</vt:lpwstr>
  </property>
  <property fmtid="{D5CDD505-2E9C-101B-9397-08002B2CF9AE}" pid="4" name="KSOTemplateDocerSaveRecord">
    <vt:lpwstr>eyJoZGlkIjoiMmI0MDhhMjNiZjEyZDA3ZTRiYTdhMGM2MmEwZGM2YzgiLCJ1c2VySWQiOiIzMDYwNTUwMjQifQ==</vt:lpwstr>
  </property>
</Properties>
</file>