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966"/>
        <w:gridCol w:w="992"/>
        <w:gridCol w:w="4369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主持人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课题类别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</w:rPr>
            </w:pPr>
            <w:r>
              <w:rPr>
                <w:rFonts w:ascii="Times New Roman" w:hAnsi="Times New Roman" w:eastAsia="等线"/>
                <w:sz w:val="22"/>
              </w:rPr>
              <w:t>JGKT22_B040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李忠玉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孟  启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价值引领、成果导向下的研究生导师能力建设研究 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</w:rPr>
            </w:pPr>
            <w:r>
              <w:rPr>
                <w:rFonts w:ascii="Times New Roman" w:hAnsi="Times New Roman" w:eastAsia="等线"/>
                <w:sz w:val="22"/>
              </w:rPr>
              <w:t>JGKT22_B041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彭明国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李  雪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产学研深度融合的石油与天然气工程专业学位研究生“1452”培养模式探索与实践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</w:rPr>
            </w:pPr>
            <w:r>
              <w:rPr>
                <w:rFonts w:ascii="Times New Roman" w:hAnsi="Times New Roman" w:eastAsia="等线"/>
                <w:sz w:val="22"/>
              </w:rPr>
              <w:t>JGKT22_C064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李克林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李安萍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非全日制研究生教育的本土实践困境与突破研究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一般课题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</w:rPr>
            </w:pPr>
            <w:r>
              <w:rPr>
                <w:rFonts w:ascii="Times New Roman" w:hAnsi="Times New Roman" w:eastAsia="等线"/>
                <w:sz w:val="22"/>
              </w:rPr>
              <w:t>JGKT22_C065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王顺先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陈艳鼎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研究生教育教学成果智能分类应用研究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一般课题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2"/>
              </w:rPr>
            </w:pPr>
            <w:r>
              <w:rPr>
                <w:rFonts w:ascii="Times New Roman" w:hAnsi="Times New Roman" w:eastAsia="等线"/>
                <w:sz w:val="22"/>
              </w:rPr>
              <w:t>JGKT22_C066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彭  伟</w:t>
            </w:r>
          </w:p>
        </w:tc>
        <w:tc>
          <w:tcPr>
            <w:tcW w:w="4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心理契约视角下研究生导学关系异化的生成机理及治理策略研究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一般课题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1DE42EB5"/>
    <w:rsid w:val="1DE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2023-09-28T01:33:00Z</dcterms:created>
  <dc:creator>苦糖</dc:creator>
  <cp:lastModifiedBy>苦糖</cp:lastModifiedBy>
  <dcterms:modified xsi:type="dcterms:W3CDTF">2023-09-28T01:35:24Z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B98561A2D7B34BCE89D59DD2D39395D8_11</vt:lpwstr>
  </property>
</Properties>
</file>